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467</w:t>
      </w:r>
    </w:p>
    <w:p>
      <w:r>
        <w:t>Bundesgericht (BGE), 2002-10-04, DE</w:t>
      </w:r>
    </w:p>
    <w:p>
      <w:r>
        <w:rPr>
          <w:b/>
        </w:rPr>
        <w:t xml:space="preserve">Quelle: </w:t>
      </w:r>
      <w:r>
        <w:t>https://mcp.opencaselaw.ch/entscheid/bge_128 III 467</w:t>
      </w:r>
    </w:p>
    <w:p>
      <w:r>
        <w:t>FR: ATF 128 III 467</w:t>
      </w:r>
    </w:p>
    <w:p>
      <w:r>
        <w:t>IT: DTF 128 III 467</w:t>
      </w:r>
    </w:p>
    <w:p>
      <w:pPr>
        <w:pStyle w:val="Heading2"/>
      </w:pPr>
      <w:r>
        <w:t>Regeste</w:t>
      </w:r>
    </w:p>
    <w:p>
      <w:r>
        <w:t>Regeste Pfändung von Leistungen der 2. und 3. Säule (Art. 92 Abs. 1 Ziff. 10 und Art. 93 SchKG). Anwendbarkeit der entsprechenden Grundsätze auf weitere Institutionen der beruflichen Vorsorge (E. 2.2).</w:t>
      </w:r>
    </w:p>
    <w:p>
      <w:pPr>
        <w:pStyle w:val="Heading2"/>
      </w:pPr>
      <w:r>
        <w:t>Erwägungen</w:t>
      </w:r>
    </w:p>
    <w:p>
      <w:r>
        <w:rPr>
          <w:b/>
        </w:rPr>
        <w:t>E. 2</w:t>
      </w:r>
    </w:p>
    <w:p>
      <w:r>
        <w:t>(...)</w:t>
      </w:r>
    </w:p>
    <w:p>
      <w:r>
        <w:rPr>
          <w:b/>
        </w:rPr>
        <w:t>E. 2.2</w:t>
      </w:r>
    </w:p>
    <w:p>
      <w:r>
        <w:t>Die kantonale Aufsichtsbehörde hat auf die Pfändbarkeit einer Leistung aus einer Freizügigkeitspolice die gleichen Grundsätze angewendet, die für Leistungen aus der 2. und 3. Säule gelten. Entgegen der Ansicht des Beschwerdeführers besteht kein Anlass, von dieser Meinung abzurücken, die von den Kommentatoren geteilt wird (PIERRE-ROBERT GILLIÉRON, Commentaire de la loi fédérale sur la poursuite pour dettes et la faillite, N. 198 zu Art. 92 SchKG ; G. VONDER MÜHLL, Kommentar zum Bundesgesetz über Schuldbetreibung und Konkurs, N. 42 zu Art. 92 SchKG ). Gleiches muss ohne weiteres für Guthaben gelten, die bei Auffangeinrichtungen liegen. Denn diese treten in gewissen Fällen an die Stelle der ordentlichen Vorsorgeeinrichtungen ( Art. 54 Abs. 2 lit. a und Art. 60 BVG [SR 831.40]; Art. 4, 24a und 24b FZG [SR 831.42]; Art. 19a ff. FZV [SR 831.425]).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